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AE5" w:rsidRDefault="00315FCA">
      <w:pPr>
        <w:rPr>
          <w:b/>
          <w:sz w:val="28"/>
        </w:rPr>
      </w:pPr>
      <w:bookmarkStart w:id="0" w:name="_GoBack"/>
      <w:bookmarkEnd w:id="0"/>
      <w:r w:rsidRPr="008A7535">
        <w:rPr>
          <w:b/>
          <w:sz w:val="28"/>
        </w:rPr>
        <w:t xml:space="preserve">Summary of Changes between the 2016 Enrollment Data Sharing Agreement and the 2021 </w:t>
      </w:r>
      <w:r w:rsidR="00E21875" w:rsidRPr="008A7535">
        <w:rPr>
          <w:b/>
          <w:sz w:val="28"/>
        </w:rPr>
        <w:t xml:space="preserve">Enrollment Data </w:t>
      </w:r>
      <w:r w:rsidR="00E21875">
        <w:rPr>
          <w:b/>
          <w:sz w:val="28"/>
        </w:rPr>
        <w:t>Sharing Agreement</w:t>
      </w:r>
    </w:p>
    <w:p w:rsidR="00E21875" w:rsidRPr="004F0A57" w:rsidRDefault="00E21875">
      <w:r w:rsidRPr="004F0A57">
        <w:t>04/15/2021</w:t>
      </w:r>
    </w:p>
    <w:p w:rsidR="008F6B5E" w:rsidRDefault="004F0A57">
      <w:r>
        <w:t>Overall, t</w:t>
      </w:r>
      <w:r w:rsidR="00315FCA">
        <w:t>he 2021 document i</w:t>
      </w:r>
      <w:r>
        <w:t>s</w:t>
      </w:r>
      <w:r w:rsidR="00315FCA">
        <w:t xml:space="preserve"> better organized, titled, and numbered. </w:t>
      </w:r>
      <w:r w:rsidR="008F6B5E">
        <w:t xml:space="preserve">Most paragraphs parallel the 2016 agreement but appear in a different order. </w:t>
      </w:r>
    </w:p>
    <w:p w:rsidR="00315FCA" w:rsidRPr="008A7535" w:rsidRDefault="008F6B5E">
      <w:pPr>
        <w:rPr>
          <w:b/>
        </w:rPr>
      </w:pPr>
      <w:r w:rsidRPr="008A7535">
        <w:rPr>
          <w:b/>
        </w:rPr>
        <w:t>T</w:t>
      </w:r>
      <w:r w:rsidR="00315FCA" w:rsidRPr="008A7535">
        <w:rPr>
          <w:b/>
        </w:rPr>
        <w:t xml:space="preserve">he following </w:t>
      </w:r>
      <w:r w:rsidRPr="008A7535">
        <w:rPr>
          <w:b/>
        </w:rPr>
        <w:t xml:space="preserve">are a list of explicit </w:t>
      </w:r>
      <w:r w:rsidR="00315FCA" w:rsidRPr="008A7535">
        <w:rPr>
          <w:b/>
        </w:rPr>
        <w:t>changes</w:t>
      </w:r>
      <w:r w:rsidRPr="008A7535">
        <w:rPr>
          <w:b/>
        </w:rPr>
        <w:t xml:space="preserve"> to the 2021 agreement</w:t>
      </w:r>
      <w:r w:rsidR="00315FCA" w:rsidRPr="008A7535">
        <w:rPr>
          <w:b/>
        </w:rPr>
        <w:t>:</w:t>
      </w:r>
    </w:p>
    <w:p w:rsidR="00315FCA" w:rsidRDefault="00315FCA" w:rsidP="00315FCA">
      <w:pPr>
        <w:pStyle w:val="ListParagraph"/>
        <w:numPr>
          <w:ilvl w:val="0"/>
          <w:numId w:val="1"/>
        </w:numPr>
      </w:pPr>
      <w:r>
        <w:t>Introduction explaining the purpose of the agreement added.</w:t>
      </w:r>
    </w:p>
    <w:p w:rsidR="00315FCA" w:rsidRDefault="00315FCA" w:rsidP="00315FCA">
      <w:pPr>
        <w:pStyle w:val="ListParagraph"/>
        <w:numPr>
          <w:ilvl w:val="0"/>
          <w:numId w:val="1"/>
        </w:numPr>
      </w:pPr>
      <w:r>
        <w:t xml:space="preserve">Clause 5 - Add references to institutions participating in Minnesota’s Eligible Training Provider List (ETPL) with the Minnesota Department of Employment and Economic Development. This clause allows OHE to redisclose records from the institution via SLEDS to DEED to fulfill institutional reporting requirements for institutions participating in DEED’s ETPL. </w:t>
      </w:r>
    </w:p>
    <w:p w:rsidR="00315FCA" w:rsidRDefault="00315FCA" w:rsidP="00315FCA">
      <w:pPr>
        <w:pStyle w:val="ListParagraph"/>
        <w:numPr>
          <w:ilvl w:val="1"/>
          <w:numId w:val="1"/>
        </w:numPr>
      </w:pPr>
      <w:r>
        <w:t>Related clauses</w:t>
      </w:r>
    </w:p>
    <w:p w:rsidR="00315FCA" w:rsidRDefault="004F0A57" w:rsidP="00315FCA">
      <w:pPr>
        <w:pStyle w:val="ListParagraph"/>
        <w:numPr>
          <w:ilvl w:val="2"/>
          <w:numId w:val="1"/>
        </w:numPr>
      </w:pPr>
      <w:r>
        <w:t xml:space="preserve">Clause </w:t>
      </w:r>
      <w:r w:rsidR="00315FCA">
        <w:t xml:space="preserve">9.c.iii.2. In response to U.S. Department of Labor requirements that ETPL reporting of summary data at a cell size of 3, permits OHE to allow DEED to report ETPL summary data at a cell size of 3. </w:t>
      </w:r>
    </w:p>
    <w:p w:rsidR="00315FCA" w:rsidRDefault="00315FCA" w:rsidP="00315FCA">
      <w:pPr>
        <w:pStyle w:val="ListParagraph"/>
        <w:numPr>
          <w:ilvl w:val="0"/>
          <w:numId w:val="1"/>
        </w:numPr>
      </w:pPr>
      <w:r>
        <w:t xml:space="preserve">Clause 9.c.iii.2. Makes explicit that a cell size of 10 shall be used in summary data if using the identified data elements. Full OHE data suppression policy added as Attachment 2. Notes: OHE was challenged on its use of a cell size of 10 when the 2016 agreement did not explicit call out the cell size. </w:t>
      </w:r>
    </w:p>
    <w:p w:rsidR="00315FCA" w:rsidRDefault="00315FCA" w:rsidP="00315FCA">
      <w:pPr>
        <w:pStyle w:val="ListParagraph"/>
        <w:numPr>
          <w:ilvl w:val="0"/>
          <w:numId w:val="1"/>
        </w:numPr>
      </w:pPr>
      <w:r>
        <w:t xml:space="preserve">Clause 9.d. added task </w:t>
      </w:r>
      <w:r w:rsidR="004F0A57">
        <w:t xml:space="preserve">for OHE </w:t>
      </w:r>
      <w:r>
        <w:t xml:space="preserve">to facilitate </w:t>
      </w:r>
      <w:r w:rsidR="004F0A57">
        <w:t xml:space="preserve">institution review of </w:t>
      </w:r>
      <w:r>
        <w:t>reports/products using institutional data</w:t>
      </w:r>
    </w:p>
    <w:p w:rsidR="00315FCA" w:rsidRDefault="00315FCA" w:rsidP="00315FCA">
      <w:pPr>
        <w:pStyle w:val="ListParagraph"/>
        <w:numPr>
          <w:ilvl w:val="0"/>
          <w:numId w:val="1"/>
        </w:numPr>
      </w:pPr>
      <w:r>
        <w:t>Clause 10. Clarifies the institution</w:t>
      </w:r>
      <w:r w:rsidR="00E21875">
        <w:t xml:space="preserve"> may</w:t>
      </w:r>
      <w:r>
        <w:t xml:space="preserve"> use </w:t>
      </w:r>
      <w:r w:rsidR="00E21875">
        <w:t xml:space="preserve">a code </w:t>
      </w:r>
      <w:r>
        <w:t xml:space="preserve">of “not applicable” for data elements that are </w:t>
      </w:r>
      <w:r w:rsidRPr="00315FCA">
        <w:t xml:space="preserve">not available, not collected by </w:t>
      </w:r>
      <w:r w:rsidR="00E21875">
        <w:t xml:space="preserve">the </w:t>
      </w:r>
      <w:r w:rsidRPr="00315FCA">
        <w:t>Institution, o</w:t>
      </w:r>
      <w:r w:rsidR="00E21875">
        <w:t>r not disclosed by Institution</w:t>
      </w:r>
      <w:r w:rsidRPr="00315FCA">
        <w:t xml:space="preserve"> pursuant to institutional policies.</w:t>
      </w:r>
    </w:p>
    <w:p w:rsidR="00E21875" w:rsidRPr="00E21875" w:rsidRDefault="00E21875" w:rsidP="008F6B5E">
      <w:pPr>
        <w:rPr>
          <w:b/>
        </w:rPr>
      </w:pPr>
      <w:r w:rsidRPr="00E21875">
        <w:rPr>
          <w:b/>
        </w:rPr>
        <w:t>References of note:</w:t>
      </w:r>
    </w:p>
    <w:p w:rsidR="00D73224" w:rsidRDefault="00D73224" w:rsidP="008F6B5E">
      <w:r>
        <w:t xml:space="preserve">ECLDS and SLEDS  </w:t>
      </w:r>
    </w:p>
    <w:p w:rsidR="00D73224" w:rsidRDefault="00D73224" w:rsidP="00D73224">
      <w:pPr>
        <w:ind w:left="360"/>
      </w:pPr>
      <w:r>
        <w:t>ECLDS+SLEDS is the co-branding used when referencing both state data systems. OHE manages and maintains both systems. The systems operate under a single IT infrastructure, therefore data access, data security, and data privacy policies will reference the co-branded system beginning in summer 2021.</w:t>
      </w:r>
    </w:p>
    <w:p w:rsidR="008F6B5E" w:rsidRDefault="008F6B5E" w:rsidP="00D73224">
      <w:pPr>
        <w:ind w:left="360"/>
        <w:rPr>
          <w:b/>
        </w:rPr>
      </w:pPr>
      <w:r w:rsidRPr="008F6B5E">
        <w:t xml:space="preserve">The </w:t>
      </w:r>
      <w:r w:rsidR="00D73224">
        <w:t>agreement</w:t>
      </w:r>
      <w:r w:rsidRPr="008F6B5E">
        <w:t xml:space="preserve"> makes reference to the </w:t>
      </w:r>
      <w:r w:rsidRPr="00D73224">
        <w:rPr>
          <w:i/>
        </w:rPr>
        <w:t>ECLDS+SLEDS Data Access and Management Policy</w:t>
      </w:r>
      <w:r w:rsidRPr="008F6B5E">
        <w:t xml:space="preserve"> which can be found at the website referenced below. It’s currently titled “SLEDS Data Access and Management Policy”, but will be reapproved</w:t>
      </w:r>
      <w:r w:rsidR="00D73224">
        <w:t xml:space="preserve"> with new branding</w:t>
      </w:r>
      <w:r w:rsidRPr="008F6B5E">
        <w:t xml:space="preserve"> in July 2021 as the “ECLDS+SLEDS Data Access and Management Policy” reflecting OHE’s administrative oversight over the Early Childhood Longitudinal Data System (individual level birth-to-grade 3 data on children and families). MPCC President Paul Cerkvenik serves on the SLEDS Governance Committee that will be reapproving the policy</w:t>
      </w:r>
      <w:r>
        <w:rPr>
          <w:b/>
        </w:rPr>
        <w:t>.</w:t>
      </w:r>
    </w:p>
    <w:p w:rsidR="008A7535" w:rsidRPr="008A7535" w:rsidRDefault="008A7535" w:rsidP="00D73224">
      <w:pPr>
        <w:pStyle w:val="ListParagraph"/>
        <w:numPr>
          <w:ilvl w:val="0"/>
          <w:numId w:val="4"/>
        </w:numPr>
        <w:ind w:left="1080"/>
      </w:pPr>
      <w:r w:rsidRPr="008A7535">
        <w:t>Minnesota’s Statewide Longitudinal Education Data System (SLEDS</w:t>
      </w:r>
      <w:r w:rsidR="00D73224">
        <w:t>, kindergarten thru adulthood/workforce data</w:t>
      </w:r>
      <w:r w:rsidRPr="008A7535">
        <w:t xml:space="preserve">) - </w:t>
      </w:r>
      <w:hyperlink r:id="rId5" w:history="1">
        <w:r w:rsidRPr="008A7535">
          <w:rPr>
            <w:rStyle w:val="Hyperlink"/>
          </w:rPr>
          <w:t>http://sleds.mn.gov/</w:t>
        </w:r>
      </w:hyperlink>
      <w:r w:rsidRPr="008A7535">
        <w:t xml:space="preserve"> </w:t>
      </w:r>
    </w:p>
    <w:p w:rsidR="008A7535" w:rsidRPr="008A7535" w:rsidRDefault="008A7535" w:rsidP="00D73224">
      <w:pPr>
        <w:pStyle w:val="ListParagraph"/>
        <w:numPr>
          <w:ilvl w:val="0"/>
          <w:numId w:val="4"/>
        </w:numPr>
        <w:ind w:left="1080"/>
      </w:pPr>
      <w:r w:rsidRPr="008A7535">
        <w:t xml:space="preserve">Minnesota’s Early Childhood Longitudinal Data System (ECLDS) - </w:t>
      </w:r>
      <w:hyperlink r:id="rId6" w:history="1">
        <w:r w:rsidRPr="008A7535">
          <w:rPr>
            <w:rStyle w:val="Hyperlink"/>
          </w:rPr>
          <w:t>http://eclds.mn.gov/</w:t>
        </w:r>
      </w:hyperlink>
      <w:r w:rsidRPr="008A7535">
        <w:t xml:space="preserve"> </w:t>
      </w:r>
    </w:p>
    <w:p w:rsidR="008A7535" w:rsidRDefault="008A7535" w:rsidP="00D73224">
      <w:pPr>
        <w:pStyle w:val="ListParagraph"/>
        <w:numPr>
          <w:ilvl w:val="0"/>
          <w:numId w:val="4"/>
        </w:numPr>
        <w:ind w:left="1080"/>
      </w:pPr>
      <w:r w:rsidRPr="008A7535">
        <w:t xml:space="preserve">SLEDS Data Access and Management Policy – </w:t>
      </w:r>
      <w:hyperlink r:id="rId7" w:history="1">
        <w:r w:rsidRPr="008A7535">
          <w:rPr>
            <w:rStyle w:val="Hyperlink"/>
          </w:rPr>
          <w:t>document website</w:t>
        </w:r>
      </w:hyperlink>
    </w:p>
    <w:p w:rsidR="00D73224" w:rsidRDefault="00D73224">
      <w:r>
        <w:br w:type="page"/>
      </w:r>
    </w:p>
    <w:p w:rsidR="00962229" w:rsidRDefault="00D73224" w:rsidP="00D73224">
      <w:r>
        <w:lastRenderedPageBreak/>
        <w:t>Eligible Training Provider List</w:t>
      </w:r>
    </w:p>
    <w:p w:rsidR="00D73224" w:rsidRDefault="00D73224" w:rsidP="00D73224">
      <w:r w:rsidRPr="00D73224">
        <w:t>The Workforce Innovation and Opportunity Act (WIOA) [1] is invested in facilitating equitable access to the training and education community members need to address today’s challenges and prepare for future success. The Eligible Training Provider List (ETPL) is required under WIOA and is a resource that can help people make strong educational choices to advance their careers in alignment with Minnesota’s economy. The list is intended to increase informed consumer choice for participants in WIOA Title 1 programs, including the Adult, Dislocated Worker, and Youth programs.</w:t>
      </w:r>
    </w:p>
    <w:p w:rsidR="00D73224" w:rsidRPr="008A7535" w:rsidRDefault="00D73224" w:rsidP="00D73224">
      <w:pPr>
        <w:pStyle w:val="ListParagraph"/>
        <w:numPr>
          <w:ilvl w:val="0"/>
          <w:numId w:val="5"/>
        </w:numPr>
      </w:pPr>
      <w:r w:rsidRPr="00D73224">
        <w:t>Minnesota’s Eligible Training Provider List</w:t>
      </w:r>
      <w:r>
        <w:t xml:space="preserve">: </w:t>
      </w:r>
      <w:hyperlink r:id="rId8" w:history="1">
        <w:r w:rsidRPr="009E226D">
          <w:rPr>
            <w:rStyle w:val="Hyperlink"/>
          </w:rPr>
          <w:t>https://mn.gov/deed/newscenter/publications/trends/september-2020/minnesota-etpl.jsp</w:t>
        </w:r>
      </w:hyperlink>
      <w:r>
        <w:t xml:space="preserve"> </w:t>
      </w:r>
    </w:p>
    <w:p w:rsidR="008F6B5E" w:rsidRPr="008F6B5E" w:rsidRDefault="008F6B5E" w:rsidP="008F6B5E">
      <w:pPr>
        <w:rPr>
          <w:b/>
        </w:rPr>
      </w:pPr>
      <w:r w:rsidRPr="008F6B5E">
        <w:rPr>
          <w:b/>
        </w:rPr>
        <w:t>New data elements added for collection</w:t>
      </w:r>
    </w:p>
    <w:p w:rsidR="008F6B5E" w:rsidRDefault="008F6B5E" w:rsidP="008F6B5E">
      <w:pPr>
        <w:pStyle w:val="ListParagraph"/>
        <w:numPr>
          <w:ilvl w:val="0"/>
          <w:numId w:val="2"/>
        </w:numPr>
      </w:pPr>
      <w:r>
        <w:t>Data on a student’s detailed race and ethnic identity. Up to 4 codes may be added reflecting the students reported multi-race/ethnicity selections.</w:t>
      </w:r>
    </w:p>
    <w:p w:rsidR="008F6B5E" w:rsidRDefault="008F6B5E" w:rsidP="008F6B5E">
      <w:pPr>
        <w:pStyle w:val="ListParagraph"/>
        <w:numPr>
          <w:ilvl w:val="0"/>
          <w:numId w:val="2"/>
        </w:numPr>
      </w:pPr>
      <w:r>
        <w:t>Tribal affiliation of American Indian and Alaska native students.</w:t>
      </w:r>
    </w:p>
    <w:p w:rsidR="008F6B5E" w:rsidRDefault="008F6B5E" w:rsidP="008F6B5E">
      <w:pPr>
        <w:pStyle w:val="ListParagraph"/>
        <w:numPr>
          <w:ilvl w:val="0"/>
          <w:numId w:val="2"/>
        </w:numPr>
      </w:pPr>
      <w:r>
        <w:t>Inclusive gender identity data.</w:t>
      </w:r>
    </w:p>
    <w:p w:rsidR="008F6B5E" w:rsidRDefault="008F6B5E" w:rsidP="008F6B5E">
      <w:pPr>
        <w:pStyle w:val="ListParagraph"/>
        <w:numPr>
          <w:ilvl w:val="0"/>
          <w:numId w:val="2"/>
        </w:numPr>
      </w:pPr>
      <w:r>
        <w:t>Grade Point Averages: high school, term, and cumulative</w:t>
      </w:r>
    </w:p>
    <w:p w:rsidR="008F6B5E" w:rsidRDefault="008F6B5E" w:rsidP="008F6B5E">
      <w:pPr>
        <w:pStyle w:val="ListParagraph"/>
        <w:numPr>
          <w:ilvl w:val="0"/>
          <w:numId w:val="2"/>
        </w:numPr>
      </w:pPr>
      <w:r>
        <w:t>Flags if the student completed a college level math or English/reading/writing course.</w:t>
      </w:r>
    </w:p>
    <w:p w:rsidR="008F6B5E" w:rsidRDefault="008F6B5E" w:rsidP="008F6B5E">
      <w:pPr>
        <w:pStyle w:val="ListParagraph"/>
        <w:numPr>
          <w:ilvl w:val="0"/>
          <w:numId w:val="2"/>
        </w:numPr>
      </w:pPr>
      <w:r>
        <w:t>Cumulative debt at graduation, for debt incurred at the reporting institution for the reported program of graduation</w:t>
      </w:r>
      <w:r w:rsidR="007D4EF9">
        <w:t xml:space="preserve"> (added to Awards Conferred data collection)</w:t>
      </w:r>
    </w:p>
    <w:p w:rsidR="008F6B5E" w:rsidRDefault="008A7535" w:rsidP="008F6B5E">
      <w:pPr>
        <w:pStyle w:val="ListParagraph"/>
        <w:numPr>
          <w:ilvl w:val="0"/>
          <w:numId w:val="2"/>
        </w:numPr>
      </w:pPr>
      <w:r>
        <w:t>Flag indicating if the student has initiated a FERPA block on directory information</w:t>
      </w:r>
    </w:p>
    <w:p w:rsidR="008A7535" w:rsidRDefault="008A7535" w:rsidP="008A7535">
      <w:r>
        <w:t xml:space="preserve">Keep in mind that the institution is not required to report to OHE data elements that are </w:t>
      </w:r>
      <w:r w:rsidRPr="00315FCA">
        <w:t>not available, not collected by Institution X, or not disclosed by Institution X pursuant to institutional policies.</w:t>
      </w:r>
    </w:p>
    <w:p w:rsidR="008A7535" w:rsidRPr="008A7535" w:rsidRDefault="008A7535" w:rsidP="008A7535">
      <w:pPr>
        <w:rPr>
          <w:b/>
        </w:rPr>
      </w:pPr>
      <w:r w:rsidRPr="008A7535">
        <w:rPr>
          <w:b/>
        </w:rPr>
        <w:t>Data elements that will no longer be collected:</w:t>
      </w:r>
    </w:p>
    <w:p w:rsidR="008A7535" w:rsidRDefault="008A7535" w:rsidP="008A7535">
      <w:pPr>
        <w:pStyle w:val="ListParagraph"/>
        <w:numPr>
          <w:ilvl w:val="0"/>
          <w:numId w:val="3"/>
        </w:numPr>
      </w:pPr>
      <w:r>
        <w:t>Enrollment status (full-time, part-time)</w:t>
      </w:r>
    </w:p>
    <w:p w:rsidR="00E6129E" w:rsidRPr="00E6129E" w:rsidRDefault="00E6129E" w:rsidP="008A7535">
      <w:pPr>
        <w:rPr>
          <w:b/>
        </w:rPr>
      </w:pPr>
      <w:r w:rsidRPr="00E6129E">
        <w:rPr>
          <w:b/>
        </w:rPr>
        <w:t>Other information</w:t>
      </w:r>
    </w:p>
    <w:p w:rsidR="0077543C" w:rsidRDefault="0077543C" w:rsidP="008A7535">
      <w:r>
        <w:t>Additional data elements may have technical changes in coding. F</w:t>
      </w:r>
      <w:r w:rsidR="007D4EF9">
        <w:t>u</w:t>
      </w:r>
      <w:r>
        <w:t>ll documentation of the changes and the review process undertaken can be found on OHE’</w:t>
      </w:r>
      <w:r w:rsidR="00E6129E">
        <w:t xml:space="preserve">s website: </w:t>
      </w:r>
      <w:hyperlink r:id="rId9" w:history="1">
        <w:r w:rsidR="00E6129E" w:rsidRPr="009E226D">
          <w:rPr>
            <w:rStyle w:val="Hyperlink"/>
          </w:rPr>
          <w:t>https://www.ohe.state.mn.us/mPg.cfm?pageID=473</w:t>
        </w:r>
      </w:hyperlink>
      <w:r w:rsidR="00E6129E">
        <w:t xml:space="preserve"> </w:t>
      </w:r>
    </w:p>
    <w:p w:rsidR="00E21875" w:rsidRDefault="008A7535" w:rsidP="008A7535">
      <w:r>
        <w:t xml:space="preserve">Please note that all changes submitted will be considered. All institutions receive the same data sharing agreement so recommendations made by other institutions may appear in the final document. </w:t>
      </w:r>
    </w:p>
    <w:p w:rsidR="00E21875" w:rsidRDefault="008A7535" w:rsidP="008A7535">
      <w:r>
        <w:t xml:space="preserve">These changes are the end result of a 10 month stakeholder review process, and OHE </w:t>
      </w:r>
      <w:r w:rsidR="00E21875">
        <w:t>attempted to balance</w:t>
      </w:r>
      <w:r>
        <w:t xml:space="preserve"> state </w:t>
      </w:r>
      <w:r w:rsidR="00E21875">
        <w:t>needs</w:t>
      </w:r>
      <w:r>
        <w:t xml:space="preserve"> for data/reporting, institutional reporting burdens, and student privacy. </w:t>
      </w:r>
      <w:r w:rsidR="00E21875">
        <w:t>We appreciate your time and assistance.</w:t>
      </w:r>
    </w:p>
    <w:p w:rsidR="00E21875" w:rsidRDefault="00E21875" w:rsidP="008A7535">
      <w:r>
        <w:t>Contacts:</w:t>
      </w:r>
    </w:p>
    <w:p w:rsidR="00D73224" w:rsidRDefault="00D73224" w:rsidP="00E21875">
      <w:pPr>
        <w:spacing w:after="0"/>
        <w:ind w:left="720"/>
        <w:sectPr w:rsidR="00D73224" w:rsidSect="00D73224">
          <w:pgSz w:w="12240" w:h="15840" w:code="1"/>
          <w:pgMar w:top="1440" w:right="1080" w:bottom="1440" w:left="1080" w:header="360" w:footer="360" w:gutter="0"/>
          <w:paperSrc w:first="7" w:other="7"/>
          <w:cols w:space="720"/>
          <w:docGrid w:linePitch="299"/>
        </w:sectPr>
      </w:pPr>
    </w:p>
    <w:p w:rsidR="00E21875" w:rsidRDefault="00E21875" w:rsidP="00E21875">
      <w:pPr>
        <w:spacing w:after="0"/>
        <w:ind w:left="720"/>
      </w:pPr>
      <w:r>
        <w:t>Meredith Fergus</w:t>
      </w:r>
    </w:p>
    <w:p w:rsidR="00E21875" w:rsidRDefault="00E21875" w:rsidP="00E21875">
      <w:pPr>
        <w:spacing w:after="0"/>
        <w:ind w:left="720"/>
      </w:pPr>
      <w:r>
        <w:t>Director of Research</w:t>
      </w:r>
    </w:p>
    <w:p w:rsidR="00E21875" w:rsidRDefault="00E21875" w:rsidP="00E21875">
      <w:pPr>
        <w:spacing w:after="0"/>
        <w:ind w:left="720"/>
      </w:pPr>
      <w:r>
        <w:t>Minnesota Office of Higher Education</w:t>
      </w:r>
    </w:p>
    <w:p w:rsidR="00E21875" w:rsidRDefault="00E21875" w:rsidP="00E21875">
      <w:pPr>
        <w:spacing w:after="0"/>
        <w:ind w:left="720"/>
      </w:pPr>
      <w:r>
        <w:t>651-259-3963</w:t>
      </w:r>
    </w:p>
    <w:p w:rsidR="00E21875" w:rsidRDefault="0077465A" w:rsidP="00E21875">
      <w:pPr>
        <w:spacing w:after="0"/>
        <w:ind w:left="720"/>
      </w:pPr>
      <w:hyperlink r:id="rId10" w:tgtFrame="_blank" w:history="1">
        <w:r w:rsidR="00E21875">
          <w:rPr>
            <w:rStyle w:val="Hyperlink"/>
          </w:rPr>
          <w:t>Meredith.Fergus@state.mn.us</w:t>
        </w:r>
      </w:hyperlink>
    </w:p>
    <w:p w:rsidR="00E21875" w:rsidRDefault="00E21875" w:rsidP="00E21875">
      <w:pPr>
        <w:spacing w:after="0"/>
        <w:ind w:left="720"/>
      </w:pPr>
      <w:r>
        <w:t xml:space="preserve">Steve Rogness </w:t>
      </w:r>
    </w:p>
    <w:p w:rsidR="00E21875" w:rsidRDefault="00E21875" w:rsidP="00E21875">
      <w:pPr>
        <w:spacing w:after="0"/>
        <w:ind w:left="720"/>
      </w:pPr>
      <w:r>
        <w:t>Enrollment Research Analyst</w:t>
      </w:r>
    </w:p>
    <w:p w:rsidR="00E21875" w:rsidRDefault="00E21875" w:rsidP="00E21875">
      <w:pPr>
        <w:spacing w:after="0"/>
        <w:ind w:left="720"/>
      </w:pPr>
      <w:r>
        <w:t>Minnesota Office of Higher Education</w:t>
      </w:r>
    </w:p>
    <w:p w:rsidR="00E21875" w:rsidRDefault="00E21875" w:rsidP="00E21875">
      <w:pPr>
        <w:spacing w:after="0"/>
        <w:ind w:left="720"/>
      </w:pPr>
      <w:r>
        <w:t>651-259-3917</w:t>
      </w:r>
    </w:p>
    <w:p w:rsidR="00E21875" w:rsidRDefault="0077465A" w:rsidP="00D73224">
      <w:pPr>
        <w:spacing w:after="0"/>
        <w:ind w:left="720"/>
      </w:pPr>
      <w:hyperlink r:id="rId11" w:tgtFrame="_blank" w:history="1">
        <w:r w:rsidR="00E21875">
          <w:rPr>
            <w:rStyle w:val="Hyperlink"/>
          </w:rPr>
          <w:t>Steve.Rogness@state.mn.us</w:t>
        </w:r>
      </w:hyperlink>
      <w:r w:rsidR="00E21875">
        <w:t xml:space="preserve"> </w:t>
      </w:r>
    </w:p>
    <w:sectPr w:rsidR="00E21875" w:rsidSect="00D73224">
      <w:type w:val="continuous"/>
      <w:pgSz w:w="12240" w:h="15840" w:code="1"/>
      <w:pgMar w:top="1440" w:right="1080" w:bottom="1440" w:left="1080" w:header="360" w:footer="360" w:gutter="0"/>
      <w:paperSrc w:first="7" w:other="7"/>
      <w:cols w:num="2"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438B6"/>
    <w:multiLevelType w:val="hybridMultilevel"/>
    <w:tmpl w:val="D21E7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8A79D6"/>
    <w:multiLevelType w:val="hybridMultilevel"/>
    <w:tmpl w:val="ABA2D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2B534B"/>
    <w:multiLevelType w:val="hybridMultilevel"/>
    <w:tmpl w:val="71CE7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8A7A67"/>
    <w:multiLevelType w:val="hybridMultilevel"/>
    <w:tmpl w:val="30246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5A3D07"/>
    <w:multiLevelType w:val="hybridMultilevel"/>
    <w:tmpl w:val="E1726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FCA"/>
    <w:rsid w:val="00315FCA"/>
    <w:rsid w:val="004C7D25"/>
    <w:rsid w:val="004F0A57"/>
    <w:rsid w:val="0077465A"/>
    <w:rsid w:val="0077543C"/>
    <w:rsid w:val="007D4EF9"/>
    <w:rsid w:val="008A7535"/>
    <w:rsid w:val="008F6B5E"/>
    <w:rsid w:val="00962229"/>
    <w:rsid w:val="00BA2AE5"/>
    <w:rsid w:val="00D73224"/>
    <w:rsid w:val="00E21875"/>
    <w:rsid w:val="00E61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AE1448-C034-42D0-A9B7-DA43406C3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5FCA"/>
    <w:pPr>
      <w:ind w:left="720"/>
      <w:contextualSpacing/>
    </w:pPr>
  </w:style>
  <w:style w:type="character" w:styleId="Hyperlink">
    <w:name w:val="Hyperlink"/>
    <w:basedOn w:val="DefaultParagraphFont"/>
    <w:uiPriority w:val="99"/>
    <w:unhideWhenUsed/>
    <w:rsid w:val="008A753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92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n.gov/deed/newscenter/publications/trends/september-2020/minnesota-etpl.js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ducation.mn.gov/mdeprod/idcplg?IdcService=GET_FILE&amp;dDocName=MDE034706&amp;RevisionSelectionMethod=latestReleased&amp;Rendition=primar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clds.mn.gov/" TargetMode="External"/><Relationship Id="rId11" Type="http://schemas.openxmlformats.org/officeDocument/2006/relationships/hyperlink" Target="mailto:Steve.Rogness@state.mn.us" TargetMode="External"/><Relationship Id="rId5" Type="http://schemas.openxmlformats.org/officeDocument/2006/relationships/hyperlink" Target="http://sleds.mn.gov/" TargetMode="External"/><Relationship Id="rId10" Type="http://schemas.openxmlformats.org/officeDocument/2006/relationships/hyperlink" Target="mailto:Meredith.Fergus@state.mn.us" TargetMode="External"/><Relationship Id="rId4" Type="http://schemas.openxmlformats.org/officeDocument/2006/relationships/webSettings" Target="webSettings.xml"/><Relationship Id="rId9" Type="http://schemas.openxmlformats.org/officeDocument/2006/relationships/hyperlink" Target="https://www.ohe.state.mn.us/mPg.cfm?pageID=4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885</Words>
  <Characters>5046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Now Micro, Inc.</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Fergus, Meredith (OHE)</dc:creator>
  <cp:keywords/>
  <dc:description/>
  <cp:lastModifiedBy>Rogness, Steve (OHE)</cp:lastModifiedBy>
  <cp:revision>2</cp:revision>
  <dcterms:created xsi:type="dcterms:W3CDTF">2021-04-16T15:33:00Z</dcterms:created>
  <dcterms:modified xsi:type="dcterms:W3CDTF">2021-04-16T15:33:00Z</dcterms:modified>
</cp:coreProperties>
</file>